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E0CAB" w14:textId="77777777" w:rsidR="006C2424" w:rsidRPr="00680702" w:rsidRDefault="00363AD4" w:rsidP="006C2424">
      <w:pPr>
        <w:rPr>
          <w:b/>
          <w:lang w:val="en-US"/>
        </w:rPr>
      </w:pPr>
      <w:r>
        <w:rPr>
          <w:b/>
          <w:lang w:val="en-US"/>
        </w:rPr>
        <w:t xml:space="preserve">Contact details </w:t>
      </w:r>
      <w:r w:rsidR="0095763F">
        <w:rPr>
          <w:b/>
          <w:lang w:val="en-US"/>
        </w:rPr>
        <w:t xml:space="preserve">of </w:t>
      </w:r>
      <w:r w:rsidR="006C2424" w:rsidRPr="00680702">
        <w:rPr>
          <w:b/>
          <w:lang w:val="en-US"/>
        </w:rPr>
        <w:t xml:space="preserve">the </w:t>
      </w:r>
      <w:r>
        <w:rPr>
          <w:b/>
          <w:lang w:val="en-US"/>
        </w:rPr>
        <w:t>p</w:t>
      </w:r>
      <w:r w:rsidR="006C2424" w:rsidRPr="00680702">
        <w:rPr>
          <w:b/>
          <w:lang w:val="en-US"/>
        </w:rPr>
        <w:t>resent</w:t>
      </w:r>
      <w:r>
        <w:rPr>
          <w:b/>
          <w:lang w:val="en-US"/>
        </w:rPr>
        <w:t xml:space="preserve">ing </w:t>
      </w:r>
      <w:r w:rsidR="006C2424" w:rsidRPr="00680702">
        <w:rPr>
          <w:b/>
          <w:lang w:val="en-US"/>
        </w:rPr>
        <w:t>/</w:t>
      </w:r>
      <w:r>
        <w:rPr>
          <w:b/>
          <w:lang w:val="en-US"/>
        </w:rPr>
        <w:t>c</w:t>
      </w:r>
      <w:r w:rsidR="006C2424" w:rsidRPr="00680702">
        <w:rPr>
          <w:b/>
          <w:lang w:val="en-US"/>
        </w:rPr>
        <w:t xml:space="preserve">orresponding </w:t>
      </w:r>
      <w:r>
        <w:rPr>
          <w:b/>
          <w:lang w:val="en-US"/>
        </w:rPr>
        <w:t>a</w:t>
      </w:r>
      <w:r w:rsidR="006C2424" w:rsidRPr="00680702">
        <w:rPr>
          <w:b/>
          <w:lang w:val="en-US"/>
        </w:rPr>
        <w:t>uthor:</w:t>
      </w:r>
    </w:p>
    <w:p w14:paraId="32A8EE8A" w14:textId="77777777" w:rsidR="006C2424" w:rsidRDefault="006C2424" w:rsidP="006C2424">
      <w:pPr>
        <w:rPr>
          <w:lang w:val="en-US"/>
        </w:rPr>
      </w:pPr>
    </w:p>
    <w:p w14:paraId="15D3E59F" w14:textId="5766D578" w:rsidR="00363AD4" w:rsidRPr="00363AD4" w:rsidRDefault="00EB20BC" w:rsidP="00B448F6">
      <w:pPr>
        <w:rPr>
          <w:lang w:val="en-US"/>
        </w:rPr>
      </w:pPr>
      <w:r>
        <w:rPr>
          <w:lang w:val="en-US"/>
        </w:rPr>
        <w:t xml:space="preserve">Second </w:t>
      </w:r>
      <w:r w:rsidR="00363AD4" w:rsidRPr="00363AD4">
        <w:rPr>
          <w:lang w:val="en-US"/>
        </w:rPr>
        <w:t>Name:</w:t>
      </w:r>
      <w:r w:rsidR="00363AD4" w:rsidRPr="00363AD4">
        <w:rPr>
          <w:lang w:val="en-US"/>
        </w:rPr>
        <w:tab/>
      </w:r>
      <w:r w:rsidR="00F50D83">
        <w:rPr>
          <w:lang w:val="en-US"/>
        </w:rPr>
        <w:t xml:space="preserve"> </w:t>
      </w:r>
      <w:r w:rsidR="00B448F6">
        <w:rPr>
          <w:lang w:val="en-US"/>
        </w:rPr>
        <w:t>Karabchevsky</w:t>
      </w:r>
    </w:p>
    <w:p w14:paraId="7D1CD528" w14:textId="46B81380" w:rsidR="00363AD4" w:rsidRPr="00363AD4" w:rsidRDefault="00363AD4" w:rsidP="00B448F6">
      <w:pPr>
        <w:rPr>
          <w:lang w:val="en-US"/>
        </w:rPr>
      </w:pPr>
      <w:r w:rsidRPr="00363AD4">
        <w:rPr>
          <w:lang w:val="en-US"/>
        </w:rPr>
        <w:t>First Name:</w:t>
      </w:r>
      <w:r w:rsidRPr="00363AD4">
        <w:rPr>
          <w:lang w:val="en-US"/>
        </w:rPr>
        <w:tab/>
      </w:r>
      <w:r w:rsidR="00B448F6">
        <w:rPr>
          <w:lang w:val="en-US"/>
        </w:rPr>
        <w:t xml:space="preserve">Alina </w:t>
      </w:r>
    </w:p>
    <w:p w14:paraId="562A5BE9" w14:textId="08F1FE80" w:rsidR="00363AD4" w:rsidRPr="00363AD4" w:rsidRDefault="00363AD4" w:rsidP="00B448F6">
      <w:pPr>
        <w:rPr>
          <w:lang w:val="en-US"/>
        </w:rPr>
      </w:pPr>
      <w:r w:rsidRPr="00363AD4">
        <w:rPr>
          <w:lang w:val="en-US"/>
        </w:rPr>
        <w:t>Institution:</w:t>
      </w:r>
      <w:r w:rsidRPr="00363AD4">
        <w:rPr>
          <w:lang w:val="en-US"/>
        </w:rPr>
        <w:tab/>
      </w:r>
      <w:r w:rsidR="00B448F6">
        <w:rPr>
          <w:lang w:val="en-US"/>
        </w:rPr>
        <w:t>Ben-Gurion</w:t>
      </w:r>
      <w:r w:rsidR="00F50D83">
        <w:rPr>
          <w:lang w:val="en-US"/>
        </w:rPr>
        <w:t xml:space="preserve"> University</w:t>
      </w:r>
      <w:r w:rsidR="00B448F6">
        <w:rPr>
          <w:lang w:val="en-US"/>
        </w:rPr>
        <w:t xml:space="preserve"> of the Negev</w:t>
      </w:r>
    </w:p>
    <w:p w14:paraId="3214E791" w14:textId="446C1D57" w:rsidR="00363AD4" w:rsidRPr="00363AD4" w:rsidRDefault="00363AD4" w:rsidP="00B448F6">
      <w:pPr>
        <w:rPr>
          <w:lang w:val="en-US"/>
        </w:rPr>
      </w:pPr>
      <w:r w:rsidRPr="00363AD4">
        <w:rPr>
          <w:lang w:val="en-US"/>
        </w:rPr>
        <w:t>Street Address:</w:t>
      </w:r>
      <w:r w:rsidRPr="00363AD4">
        <w:rPr>
          <w:lang w:val="en-US"/>
        </w:rPr>
        <w:tab/>
      </w:r>
      <w:r w:rsidR="00B448F6">
        <w:rPr>
          <w:lang w:val="en-US"/>
        </w:rPr>
        <w:t>Reger</w:t>
      </w:r>
    </w:p>
    <w:p w14:paraId="67046B0F" w14:textId="5BBC8924" w:rsidR="00363AD4" w:rsidRPr="00363AD4" w:rsidRDefault="00363AD4" w:rsidP="00B448F6">
      <w:pPr>
        <w:rPr>
          <w:lang w:val="en-US"/>
        </w:rPr>
      </w:pPr>
      <w:r w:rsidRPr="00363AD4">
        <w:rPr>
          <w:lang w:val="en-US"/>
        </w:rPr>
        <w:t>City:</w:t>
      </w:r>
      <w:r w:rsidRPr="00363AD4">
        <w:rPr>
          <w:lang w:val="en-US"/>
        </w:rPr>
        <w:tab/>
      </w:r>
      <w:r w:rsidR="00B448F6">
        <w:rPr>
          <w:lang w:val="en-US"/>
        </w:rPr>
        <w:t>Beer-Sheva</w:t>
      </w:r>
    </w:p>
    <w:p w14:paraId="2F8BFFEF" w14:textId="6D632B9B" w:rsidR="00363AD4" w:rsidRPr="00363AD4" w:rsidRDefault="00363AD4" w:rsidP="00B448F6">
      <w:pPr>
        <w:rPr>
          <w:lang w:val="en-US"/>
        </w:rPr>
      </w:pPr>
      <w:r w:rsidRPr="00363AD4">
        <w:rPr>
          <w:lang w:val="en-US"/>
        </w:rPr>
        <w:t>Zip:</w:t>
      </w:r>
      <w:r w:rsidRPr="00363AD4">
        <w:rPr>
          <w:lang w:val="en-US"/>
        </w:rPr>
        <w:tab/>
      </w:r>
      <w:r w:rsidR="00B448F6" w:rsidRPr="00B448F6">
        <w:rPr>
          <w:lang w:val="en-US"/>
        </w:rPr>
        <w:t>​8410501</w:t>
      </w:r>
    </w:p>
    <w:p w14:paraId="28E6335D" w14:textId="77777777" w:rsidR="00363AD4" w:rsidRPr="00363AD4" w:rsidRDefault="00363AD4" w:rsidP="00363AD4">
      <w:pPr>
        <w:rPr>
          <w:lang w:val="en-US"/>
        </w:rPr>
      </w:pPr>
      <w:r w:rsidRPr="00363AD4">
        <w:rPr>
          <w:lang w:val="en-US"/>
        </w:rPr>
        <w:t>Country:</w:t>
      </w:r>
      <w:r w:rsidRPr="00363AD4">
        <w:rPr>
          <w:lang w:val="en-US"/>
        </w:rPr>
        <w:tab/>
      </w:r>
      <w:r w:rsidR="00F50D83">
        <w:rPr>
          <w:lang w:val="en-US"/>
        </w:rPr>
        <w:t>Israel</w:t>
      </w:r>
    </w:p>
    <w:p w14:paraId="224D51D3" w14:textId="04E4EEDA" w:rsidR="00363AD4" w:rsidRPr="00363AD4" w:rsidRDefault="00363AD4" w:rsidP="00B448F6">
      <w:pPr>
        <w:rPr>
          <w:lang w:val="en-US"/>
        </w:rPr>
      </w:pPr>
      <w:r w:rsidRPr="00363AD4">
        <w:rPr>
          <w:lang w:val="en-US"/>
        </w:rPr>
        <w:t>Email Address:</w:t>
      </w:r>
      <w:r w:rsidR="00F50D83">
        <w:rPr>
          <w:lang w:val="en-US"/>
        </w:rPr>
        <w:t xml:space="preserve"> </w:t>
      </w:r>
      <w:r w:rsidR="00B448F6">
        <w:rPr>
          <w:lang w:val="en-US"/>
        </w:rPr>
        <w:t>alinak</w:t>
      </w:r>
      <w:r w:rsidR="00F50D83">
        <w:rPr>
          <w:lang w:val="en-US"/>
        </w:rPr>
        <w:t>@</w:t>
      </w:r>
      <w:r w:rsidR="00B448F6">
        <w:rPr>
          <w:lang w:val="en-US"/>
        </w:rPr>
        <w:t>bgu</w:t>
      </w:r>
      <w:r w:rsidR="00F50D83">
        <w:rPr>
          <w:lang w:val="en-US"/>
        </w:rPr>
        <w:t>.ac.il</w:t>
      </w:r>
      <w:r w:rsidRPr="00363AD4">
        <w:rPr>
          <w:lang w:val="en-US"/>
        </w:rPr>
        <w:tab/>
      </w:r>
    </w:p>
    <w:p w14:paraId="0B48D9BB" w14:textId="7387D553" w:rsidR="00363AD4" w:rsidRPr="00363AD4" w:rsidRDefault="00363AD4" w:rsidP="00B448F6">
      <w:pPr>
        <w:rPr>
          <w:lang w:val="en-US"/>
        </w:rPr>
      </w:pPr>
      <w:r w:rsidRPr="00363AD4">
        <w:rPr>
          <w:lang w:val="en-US"/>
        </w:rPr>
        <w:t>Telephone Number:</w:t>
      </w:r>
      <w:r w:rsidRPr="00363AD4">
        <w:rPr>
          <w:lang w:val="en-US"/>
        </w:rPr>
        <w:tab/>
      </w:r>
      <w:r w:rsidR="00F50D83">
        <w:rPr>
          <w:lang w:val="en-US"/>
        </w:rPr>
        <w:t>972-</w:t>
      </w:r>
      <w:r w:rsidR="00B448F6">
        <w:rPr>
          <w:lang w:val="en-US"/>
        </w:rPr>
        <w:t>53</w:t>
      </w:r>
      <w:r w:rsidR="00F50D83">
        <w:rPr>
          <w:lang w:val="en-US"/>
        </w:rPr>
        <w:t>-</w:t>
      </w:r>
      <w:r w:rsidR="00B448F6">
        <w:rPr>
          <w:lang w:val="en-US"/>
        </w:rPr>
        <w:t>2232299</w:t>
      </w:r>
    </w:p>
    <w:p w14:paraId="04D598C1" w14:textId="77777777" w:rsidR="00363AD4" w:rsidRDefault="00363AD4" w:rsidP="006C2424">
      <w:pPr>
        <w:pStyle w:val="Heading1"/>
        <w:jc w:val="left"/>
        <w:rPr>
          <w:sz w:val="24"/>
          <w:lang w:val="en-US"/>
        </w:rPr>
      </w:pPr>
      <w:bookmarkStart w:id="0" w:name="OLE_LINK2"/>
    </w:p>
    <w:bookmarkEnd w:id="0"/>
    <w:p w14:paraId="1151D1F9" w14:textId="77777777" w:rsidR="00363AD4" w:rsidRDefault="00363AD4" w:rsidP="006C2424">
      <w:pPr>
        <w:rPr>
          <w:b/>
          <w:lang w:val="en-US"/>
        </w:rPr>
      </w:pPr>
    </w:p>
    <w:p w14:paraId="0AF0F73B" w14:textId="77777777" w:rsidR="006C2424" w:rsidRPr="00680702" w:rsidRDefault="006C2424" w:rsidP="006C2424">
      <w:pPr>
        <w:rPr>
          <w:b/>
          <w:lang w:val="en-US"/>
        </w:rPr>
      </w:pPr>
      <w:r w:rsidRPr="00680702">
        <w:rPr>
          <w:b/>
          <w:lang w:val="en-US"/>
        </w:rPr>
        <w:t>Copyright Statement:</w:t>
      </w:r>
    </w:p>
    <w:p w14:paraId="594947A2" w14:textId="77777777" w:rsidR="006C2424" w:rsidRPr="00680702" w:rsidRDefault="006C2424" w:rsidP="006C2424">
      <w:pPr>
        <w:rPr>
          <w:lang w:val="en-US"/>
        </w:rPr>
      </w:pPr>
      <w:r w:rsidRPr="00680702">
        <w:rPr>
          <w:lang w:val="en-US"/>
        </w:rPr>
        <w:t xml:space="preserve">With the submission of this abstract, the authors agree that the </w:t>
      </w:r>
      <w:r w:rsidR="0095763F">
        <w:rPr>
          <w:lang w:val="en-US"/>
        </w:rPr>
        <w:t>abstract may</w:t>
      </w:r>
      <w:r w:rsidRPr="00680702">
        <w:rPr>
          <w:lang w:val="en-US"/>
        </w:rPr>
        <w:t xml:space="preserve"> </w:t>
      </w:r>
      <w:r w:rsidR="006F3EBD">
        <w:rPr>
          <w:lang w:val="en-US"/>
        </w:rPr>
        <w:t xml:space="preserve">be </w:t>
      </w:r>
      <w:r w:rsidRPr="00680702">
        <w:rPr>
          <w:lang w:val="en-US"/>
        </w:rPr>
        <w:t xml:space="preserve">used by the organizers </w:t>
      </w:r>
      <w:r w:rsidR="0095763F">
        <w:rPr>
          <w:lang w:val="en-US"/>
        </w:rPr>
        <w:t xml:space="preserve">to prepare </w:t>
      </w:r>
      <w:r w:rsidR="006E6DDE">
        <w:rPr>
          <w:lang w:val="en-US"/>
        </w:rPr>
        <w:t>the Book of Abstracts for</w:t>
      </w:r>
      <w:r w:rsidR="0095763F">
        <w:rPr>
          <w:lang w:val="en-US"/>
        </w:rPr>
        <w:t xml:space="preserve"> the </w:t>
      </w:r>
      <w:r w:rsidRPr="00680702">
        <w:rPr>
          <w:lang w:val="en-US"/>
        </w:rPr>
        <w:t xml:space="preserve">conference. The author </w:t>
      </w:r>
      <w:r w:rsidR="006E6DDE">
        <w:rPr>
          <w:lang w:val="en-US"/>
        </w:rPr>
        <w:t>herewith declares on behalf of all co-authors</w:t>
      </w:r>
      <w:r w:rsidRPr="00680702">
        <w:rPr>
          <w:lang w:val="en-US"/>
        </w:rPr>
        <w:t xml:space="preserve"> that the submitted abstract is not subject to any copyright</w:t>
      </w:r>
      <w:r w:rsidR="006E6DDE">
        <w:rPr>
          <w:lang w:val="en-US"/>
        </w:rPr>
        <w:t xml:space="preserve"> issues</w:t>
      </w:r>
      <w:r w:rsidRPr="00680702">
        <w:rPr>
          <w:lang w:val="en-US"/>
        </w:rPr>
        <w:t>.</w:t>
      </w:r>
    </w:p>
    <w:p w14:paraId="6B4DEA57" w14:textId="77777777" w:rsidR="006C2424" w:rsidRPr="00680702" w:rsidRDefault="006C2424">
      <w:pPr>
        <w:pStyle w:val="Heading1"/>
        <w:rPr>
          <w:sz w:val="28"/>
          <w:lang w:val="en-US"/>
        </w:rPr>
      </w:pPr>
    </w:p>
    <w:p w14:paraId="2723F94D" w14:textId="77777777" w:rsidR="006E6DDE" w:rsidRDefault="006E6DDE" w:rsidP="006C2424">
      <w:pPr>
        <w:rPr>
          <w:b/>
          <w:color w:val="FF0000"/>
          <w:sz w:val="28"/>
          <w:lang w:val="en-US"/>
        </w:rPr>
      </w:pPr>
      <w:r>
        <w:rPr>
          <w:b/>
          <w:color w:val="FF0000"/>
          <w:sz w:val="28"/>
          <w:lang w:val="en-US"/>
        </w:rPr>
        <w:t>Please scroll down for a sample abstract on the following page.</w:t>
      </w:r>
    </w:p>
    <w:p w14:paraId="2A1FD5D1" w14:textId="67C79B30" w:rsidR="006C2424" w:rsidRDefault="006C2424" w:rsidP="006C2424">
      <w:pPr>
        <w:rPr>
          <w:b/>
          <w:color w:val="FF0000"/>
          <w:sz w:val="28"/>
          <w:lang w:val="en-US"/>
        </w:rPr>
      </w:pPr>
      <w:r w:rsidRPr="00363AD4">
        <w:rPr>
          <w:b/>
          <w:color w:val="FF0000"/>
          <w:sz w:val="28"/>
          <w:lang w:val="en-US"/>
        </w:rPr>
        <w:t xml:space="preserve">Note: </w:t>
      </w:r>
      <w:r w:rsidR="006E6DDE">
        <w:rPr>
          <w:b/>
          <w:color w:val="FF0000"/>
          <w:sz w:val="28"/>
          <w:lang w:val="en-US"/>
        </w:rPr>
        <w:t>The l</w:t>
      </w:r>
      <w:r w:rsidRPr="00363AD4">
        <w:rPr>
          <w:b/>
          <w:color w:val="FF0000"/>
          <w:sz w:val="28"/>
          <w:lang w:val="en-US"/>
        </w:rPr>
        <w:t>ength of the abstract should not exceed one page!</w:t>
      </w:r>
    </w:p>
    <w:p w14:paraId="6F997DCA" w14:textId="6E7BAA29" w:rsidR="0011639B" w:rsidRDefault="0011639B" w:rsidP="006C2424">
      <w:pPr>
        <w:rPr>
          <w:b/>
          <w:color w:val="FF0000"/>
          <w:sz w:val="28"/>
          <w:lang w:val="en-US"/>
        </w:rPr>
      </w:pPr>
    </w:p>
    <w:p w14:paraId="193BE9CC" w14:textId="2A84F72D" w:rsidR="0011639B" w:rsidRDefault="0011639B" w:rsidP="006C2424">
      <w:pPr>
        <w:rPr>
          <w:b/>
          <w:color w:val="FF0000"/>
          <w:sz w:val="28"/>
          <w:lang w:val="en-US"/>
        </w:rPr>
      </w:pPr>
    </w:p>
    <w:p w14:paraId="2B80F848" w14:textId="4FBF90FF" w:rsidR="0011639B" w:rsidRPr="00BA5E9C" w:rsidRDefault="0011639B" w:rsidP="00CB0F5C">
      <w:pPr>
        <w:pStyle w:val="NormalWeb"/>
        <w:ind w:left="640" w:hanging="640"/>
        <w:jc w:val="both"/>
        <w:rPr>
          <w:noProof/>
          <w:sz w:val="22"/>
        </w:rPr>
      </w:pPr>
      <w:r>
        <w:rPr>
          <w:sz w:val="22"/>
        </w:rPr>
        <w:fldChar w:fldCharType="begin" w:fldLock="1"/>
      </w:r>
      <w:r>
        <w:rPr>
          <w:sz w:val="22"/>
        </w:rPr>
        <w:instrText xml:space="preserve">ADDIN Mendeley Bibliography CSL_BIBLIOGRAPHY </w:instrText>
      </w:r>
      <w:r>
        <w:rPr>
          <w:sz w:val="22"/>
        </w:rPr>
        <w:fldChar w:fldCharType="separate"/>
      </w:r>
      <w:r>
        <w:rPr>
          <w:noProof/>
          <w:sz w:val="22"/>
        </w:rPr>
        <w:t xml:space="preserve">1. </w:t>
      </w:r>
      <w:r>
        <w:rPr>
          <w:noProof/>
          <w:sz w:val="22"/>
        </w:rPr>
        <w:tab/>
      </w:r>
      <w:r w:rsidR="00CB0F5C" w:rsidRPr="00CB0F5C">
        <w:rPr>
          <w:noProof/>
          <w:sz w:val="22"/>
        </w:rPr>
        <w:t xml:space="preserve">Yang, Y. et al. </w:t>
      </w:r>
      <w:r w:rsidR="00CB0F5C" w:rsidRPr="00CB0F5C">
        <w:rPr>
          <w:i/>
          <w:iCs/>
          <w:noProof/>
          <w:sz w:val="22"/>
        </w:rPr>
        <w:t>Femtosecond optical polarization switching using a cadmium oxide-based perfect absorber</w:t>
      </w:r>
      <w:r w:rsidR="00CB0F5C" w:rsidRPr="00CB0F5C">
        <w:rPr>
          <w:noProof/>
          <w:sz w:val="22"/>
        </w:rPr>
        <w:t xml:space="preserve">. Nature Photonics </w:t>
      </w:r>
      <w:r w:rsidR="00CB0F5C" w:rsidRPr="00CB0F5C">
        <w:rPr>
          <w:b/>
          <w:bCs/>
          <w:noProof/>
          <w:sz w:val="22"/>
        </w:rPr>
        <w:t>11</w:t>
      </w:r>
      <w:r w:rsidR="00CB0F5C" w:rsidRPr="00CB0F5C">
        <w:rPr>
          <w:noProof/>
          <w:sz w:val="22"/>
        </w:rPr>
        <w:t>, 390 (2017).</w:t>
      </w:r>
    </w:p>
    <w:p w14:paraId="0DC1A299" w14:textId="2E2E76CE" w:rsidR="0011639B" w:rsidRPr="00D00EFD" w:rsidRDefault="0011639B" w:rsidP="00CB0F5C">
      <w:pPr>
        <w:pStyle w:val="NormalWeb"/>
        <w:ind w:left="640" w:hanging="640"/>
        <w:jc w:val="both"/>
        <w:rPr>
          <w:noProof/>
          <w:sz w:val="22"/>
        </w:rPr>
      </w:pPr>
      <w:r w:rsidRPr="00D00EFD">
        <w:rPr>
          <w:noProof/>
          <w:sz w:val="22"/>
        </w:rPr>
        <w:t xml:space="preserve">2. </w:t>
      </w:r>
      <w:r w:rsidRPr="00D00EFD">
        <w:rPr>
          <w:noProof/>
          <w:sz w:val="22"/>
        </w:rPr>
        <w:tab/>
      </w:r>
      <w:r w:rsidR="001117E4" w:rsidRPr="001117E4">
        <w:rPr>
          <w:noProof/>
          <w:sz w:val="22"/>
        </w:rPr>
        <w:t>Karabchevsky, A., Katiyi, A., Abdul Khudus, M</w:t>
      </w:r>
      <w:r w:rsidR="001117E4">
        <w:rPr>
          <w:noProof/>
          <w:sz w:val="22"/>
        </w:rPr>
        <w:t xml:space="preserve">.I.M. and Kavokin, A.V., </w:t>
      </w:r>
      <w:r w:rsidR="001117E4" w:rsidRPr="001117E4">
        <w:rPr>
          <w:i/>
          <w:iCs/>
          <w:noProof/>
          <w:sz w:val="22"/>
        </w:rPr>
        <w:t>Tuning the near-infrared absorption of aromatic amines with photonic microfibers sculptured gold nanoparticles</w:t>
      </w:r>
      <w:r w:rsidR="001117E4" w:rsidRPr="001117E4">
        <w:rPr>
          <w:noProof/>
          <w:sz w:val="22"/>
        </w:rPr>
        <w:t xml:space="preserve">, ACS Photonics, </w:t>
      </w:r>
      <w:r w:rsidR="001117E4" w:rsidRPr="001117E4">
        <w:rPr>
          <w:b/>
          <w:bCs/>
          <w:noProof/>
          <w:sz w:val="22"/>
        </w:rPr>
        <w:t>5</w:t>
      </w:r>
      <w:r w:rsidR="001117E4">
        <w:rPr>
          <w:noProof/>
          <w:sz w:val="22"/>
        </w:rPr>
        <w:t xml:space="preserve"> 2200-2207</w:t>
      </w:r>
      <w:r w:rsidR="001117E4" w:rsidRPr="007E41F2">
        <w:rPr>
          <w:noProof/>
          <w:sz w:val="22"/>
        </w:rPr>
        <w:t>, (201</w:t>
      </w:r>
      <w:r w:rsidR="001117E4">
        <w:rPr>
          <w:noProof/>
          <w:sz w:val="22"/>
        </w:rPr>
        <w:t>8</w:t>
      </w:r>
      <w:r w:rsidR="001117E4" w:rsidRPr="007E41F2">
        <w:rPr>
          <w:noProof/>
          <w:sz w:val="22"/>
        </w:rPr>
        <w:t>).</w:t>
      </w:r>
    </w:p>
    <w:p w14:paraId="58878326" w14:textId="07DC3A35" w:rsidR="0011639B" w:rsidRPr="00D00EFD" w:rsidRDefault="0011639B" w:rsidP="00CB0F5C">
      <w:pPr>
        <w:pStyle w:val="NormalWeb"/>
        <w:ind w:left="640" w:hanging="640"/>
        <w:jc w:val="both"/>
        <w:rPr>
          <w:noProof/>
          <w:sz w:val="22"/>
        </w:rPr>
      </w:pPr>
      <w:r w:rsidRPr="00D00EFD">
        <w:rPr>
          <w:noProof/>
          <w:sz w:val="22"/>
        </w:rPr>
        <w:t xml:space="preserve">3. </w:t>
      </w:r>
      <w:r w:rsidRPr="00D00EFD">
        <w:rPr>
          <w:noProof/>
          <w:sz w:val="22"/>
        </w:rPr>
        <w:tab/>
      </w:r>
      <w:r w:rsidR="007E41F2" w:rsidRPr="007E41F2">
        <w:rPr>
          <w:noProof/>
          <w:sz w:val="22"/>
        </w:rPr>
        <w:t xml:space="preserve">Karabchevsky, A., Mosayyebi, A. &amp; Kavokin, A. V. </w:t>
      </w:r>
      <w:r w:rsidR="007E41F2" w:rsidRPr="006D0730">
        <w:rPr>
          <w:i/>
          <w:iCs/>
          <w:noProof/>
          <w:sz w:val="22"/>
        </w:rPr>
        <w:t>Tuning the chemiluminescence of a luminol flow using plasmonic nanoparticles</w:t>
      </w:r>
      <w:r w:rsidR="007E41F2" w:rsidRPr="007E41F2">
        <w:rPr>
          <w:noProof/>
          <w:sz w:val="22"/>
        </w:rPr>
        <w:t xml:space="preserve">. Light: Science &amp; Applications </w:t>
      </w:r>
      <w:r w:rsidR="007E41F2" w:rsidRPr="006D0730">
        <w:rPr>
          <w:b/>
          <w:bCs/>
          <w:noProof/>
          <w:sz w:val="22"/>
        </w:rPr>
        <w:t>5</w:t>
      </w:r>
      <w:r w:rsidR="007E41F2" w:rsidRPr="007E41F2">
        <w:rPr>
          <w:noProof/>
          <w:sz w:val="22"/>
        </w:rPr>
        <w:t>, (2016).</w:t>
      </w:r>
    </w:p>
    <w:p w14:paraId="4A0B3870" w14:textId="61BF3227" w:rsidR="0011639B" w:rsidRPr="0011639B" w:rsidRDefault="0011639B" w:rsidP="0011639B">
      <w:pPr>
        <w:rPr>
          <w:b/>
          <w:color w:val="FF0000"/>
          <w:sz w:val="28"/>
        </w:rPr>
      </w:pPr>
      <w:r>
        <w:rPr>
          <w:sz w:val="22"/>
        </w:rPr>
        <w:fldChar w:fldCharType="end"/>
      </w:r>
    </w:p>
    <w:p w14:paraId="225A7A69" w14:textId="77777777" w:rsidR="006E6DDE" w:rsidRDefault="006E6DDE" w:rsidP="001C0648">
      <w:pPr>
        <w:autoSpaceDE w:val="0"/>
        <w:autoSpaceDN w:val="0"/>
        <w:adjustRightInd w:val="0"/>
        <w:jc w:val="center"/>
        <w:rPr>
          <w:sz w:val="28"/>
          <w:lang w:val="en-US"/>
        </w:rPr>
      </w:pPr>
    </w:p>
    <w:p w14:paraId="0416CC90" w14:textId="77777777" w:rsidR="006E6DDE" w:rsidRDefault="006E6DDE" w:rsidP="001C0648">
      <w:pPr>
        <w:autoSpaceDE w:val="0"/>
        <w:autoSpaceDN w:val="0"/>
        <w:adjustRightInd w:val="0"/>
        <w:jc w:val="center"/>
        <w:rPr>
          <w:sz w:val="28"/>
          <w:lang w:val="en-US"/>
        </w:rPr>
      </w:pPr>
    </w:p>
    <w:p w14:paraId="79B26F8C" w14:textId="030AEFA0" w:rsidR="00F50D83" w:rsidRPr="00A74CBF" w:rsidRDefault="006C2424" w:rsidP="00C44769">
      <w:pPr>
        <w:pStyle w:val="Title1"/>
        <w:spacing w:before="120" w:after="120"/>
        <w:ind w:left="0" w:right="0"/>
      </w:pPr>
      <w:r w:rsidRPr="00680702">
        <w:br w:type="page"/>
      </w:r>
      <w:r w:rsidR="00C44769" w:rsidRPr="00C44769">
        <w:lastRenderedPageBreak/>
        <w:t>All-optical switch with hybrid plasmonic molecular systems</w:t>
      </w:r>
      <w:r w:rsidR="00A74CBF">
        <w:t>: sensing or switching?</w:t>
      </w:r>
    </w:p>
    <w:p w14:paraId="4D6E59C0" w14:textId="002825C3" w:rsidR="00FD434F" w:rsidRDefault="00A74CBF" w:rsidP="00FD434F">
      <w:pPr>
        <w:autoSpaceDE w:val="0"/>
        <w:autoSpaceDN w:val="0"/>
        <w:adjustRightInd w:val="0"/>
        <w:jc w:val="center"/>
        <w:rPr>
          <w:b/>
          <w:bCs/>
          <w:iCs/>
          <w:sz w:val="20"/>
          <w:szCs w:val="20"/>
          <w:vertAlign w:val="superscript"/>
          <w:lang w:val="en-US"/>
        </w:rPr>
      </w:pPr>
      <w:r>
        <w:rPr>
          <w:b/>
          <w:bCs/>
          <w:iCs/>
          <w:sz w:val="20"/>
          <w:szCs w:val="20"/>
          <w:lang w:val="en-US"/>
        </w:rPr>
        <w:t>A</w:t>
      </w:r>
      <w:r w:rsidR="00FD434F">
        <w:rPr>
          <w:b/>
          <w:bCs/>
          <w:iCs/>
          <w:sz w:val="20"/>
          <w:szCs w:val="20"/>
          <w:lang w:val="en-US"/>
        </w:rPr>
        <w:t xml:space="preserve">. </w:t>
      </w:r>
      <w:r w:rsidRPr="00A74CBF">
        <w:rPr>
          <w:b/>
          <w:bCs/>
          <w:iCs/>
          <w:sz w:val="20"/>
          <w:szCs w:val="20"/>
          <w:lang w:val="en-US"/>
        </w:rPr>
        <w:t>Karabchevsky</w:t>
      </w:r>
      <w:r w:rsidR="001C0648" w:rsidRPr="001C0648">
        <w:rPr>
          <w:b/>
          <w:bCs/>
          <w:iCs/>
          <w:sz w:val="20"/>
          <w:szCs w:val="20"/>
          <w:vertAlign w:val="superscript"/>
          <w:lang w:val="en-US"/>
        </w:rPr>
        <w:t>1</w:t>
      </w:r>
      <w:r>
        <w:rPr>
          <w:b/>
          <w:bCs/>
          <w:iCs/>
          <w:sz w:val="20"/>
          <w:szCs w:val="20"/>
          <w:vertAlign w:val="superscript"/>
          <w:lang w:val="en-US"/>
        </w:rPr>
        <w:t>,2</w:t>
      </w:r>
      <w:r w:rsidR="001C0648" w:rsidRPr="001C0648">
        <w:rPr>
          <w:b/>
          <w:bCs/>
          <w:iCs/>
          <w:sz w:val="20"/>
          <w:szCs w:val="20"/>
          <w:lang w:val="en-US"/>
        </w:rPr>
        <w:t xml:space="preserve">, </w:t>
      </w:r>
      <w:r>
        <w:rPr>
          <w:b/>
          <w:bCs/>
          <w:iCs/>
          <w:sz w:val="20"/>
          <w:szCs w:val="20"/>
          <w:lang w:val="en-US"/>
        </w:rPr>
        <w:t>A</w:t>
      </w:r>
      <w:r w:rsidR="001C0648" w:rsidRPr="001C0648">
        <w:rPr>
          <w:b/>
          <w:bCs/>
          <w:iCs/>
          <w:sz w:val="20"/>
          <w:szCs w:val="20"/>
          <w:lang w:val="en-US"/>
        </w:rPr>
        <w:t xml:space="preserve">. </w:t>
      </w:r>
      <w:r>
        <w:rPr>
          <w:b/>
          <w:bCs/>
          <w:iCs/>
          <w:sz w:val="20"/>
          <w:szCs w:val="20"/>
          <w:lang w:val="en-US"/>
        </w:rPr>
        <w:t>Haz</w:t>
      </w:r>
      <w:r w:rsidR="00FD434F">
        <w:rPr>
          <w:b/>
          <w:bCs/>
          <w:iCs/>
          <w:sz w:val="20"/>
          <w:szCs w:val="20"/>
          <w:lang w:val="en-US"/>
        </w:rPr>
        <w:t>an</w:t>
      </w:r>
      <w:r w:rsidR="001C0648" w:rsidRPr="001C0648">
        <w:rPr>
          <w:b/>
          <w:bCs/>
          <w:iCs/>
          <w:sz w:val="20"/>
          <w:szCs w:val="20"/>
          <w:vertAlign w:val="superscript"/>
          <w:lang w:val="en-US"/>
        </w:rPr>
        <w:t>1</w:t>
      </w:r>
    </w:p>
    <w:p w14:paraId="1D75F963" w14:textId="04B696C1" w:rsidR="001C0648" w:rsidRDefault="00A74CBF" w:rsidP="00A74CBF">
      <w:pPr>
        <w:pStyle w:val="Affiliation"/>
        <w:rPr>
          <w:rFonts w:eastAsia="SimSun"/>
          <w:i/>
          <w:iCs/>
          <w:sz w:val="16"/>
          <w:szCs w:val="16"/>
          <w:lang w:eastAsia="zh-CN"/>
        </w:rPr>
      </w:pPr>
      <w:r>
        <w:rPr>
          <w:b/>
          <w:bCs/>
          <w:iCs/>
          <w:sz w:val="20"/>
          <w:vertAlign w:val="superscript"/>
        </w:rPr>
        <w:t>1</w:t>
      </w:r>
      <w:r>
        <w:rPr>
          <w:rFonts w:eastAsia="SimSun"/>
          <w:i/>
          <w:iCs/>
          <w:sz w:val="16"/>
          <w:szCs w:val="16"/>
          <w:lang w:eastAsia="zh-CN"/>
        </w:rPr>
        <w:t>E</w:t>
      </w:r>
      <w:r w:rsidRPr="00A74CBF">
        <w:rPr>
          <w:rFonts w:eastAsia="SimSun"/>
          <w:i/>
          <w:iCs/>
          <w:sz w:val="16"/>
          <w:szCs w:val="16"/>
          <w:lang w:eastAsia="zh-CN"/>
        </w:rPr>
        <w:t xml:space="preserve">lectrooptics and Photonics Engineering Department, Beer-Sheva 8410501, </w:t>
      </w:r>
      <w:r w:rsidR="00FD434F">
        <w:rPr>
          <w:rFonts w:eastAsia="SimSun"/>
          <w:i/>
          <w:iCs/>
          <w:sz w:val="16"/>
          <w:szCs w:val="16"/>
          <w:lang w:eastAsia="zh-CN"/>
        </w:rPr>
        <w:t>Israel</w:t>
      </w:r>
    </w:p>
    <w:p w14:paraId="08D79D54" w14:textId="250EC2B4" w:rsidR="00A74CBF" w:rsidRDefault="00A74CBF" w:rsidP="00A74CBF">
      <w:pPr>
        <w:autoSpaceDE w:val="0"/>
        <w:autoSpaceDN w:val="0"/>
        <w:adjustRightInd w:val="0"/>
        <w:jc w:val="center"/>
        <w:rPr>
          <w:rFonts w:eastAsia="SimSun"/>
          <w:i/>
          <w:iCs/>
          <w:sz w:val="16"/>
          <w:szCs w:val="16"/>
          <w:lang w:val="en-US" w:eastAsia="zh-CN"/>
        </w:rPr>
      </w:pPr>
      <w:r>
        <w:rPr>
          <w:b/>
          <w:bCs/>
          <w:iCs/>
          <w:sz w:val="20"/>
          <w:szCs w:val="20"/>
          <w:vertAlign w:val="superscript"/>
          <w:lang w:val="en-US"/>
        </w:rPr>
        <w:t>2</w:t>
      </w:r>
      <w:r>
        <w:rPr>
          <w:rFonts w:eastAsia="SimSun"/>
          <w:i/>
          <w:iCs/>
          <w:sz w:val="16"/>
          <w:szCs w:val="16"/>
          <w:lang w:val="en-US" w:eastAsia="zh-CN"/>
        </w:rPr>
        <w:t>I</w:t>
      </w:r>
      <w:r w:rsidRPr="00A74CBF">
        <w:rPr>
          <w:rFonts w:eastAsia="SimSun"/>
          <w:i/>
          <w:iCs/>
          <w:sz w:val="16"/>
          <w:szCs w:val="16"/>
          <w:lang w:val="en-US" w:eastAsia="zh-CN"/>
        </w:rPr>
        <w:t>lse Katz Institute for Nanoscale</w:t>
      </w:r>
      <w:r w:rsidR="0081160F">
        <w:rPr>
          <w:rFonts w:eastAsia="SimSun"/>
          <w:i/>
          <w:iCs/>
          <w:sz w:val="16"/>
          <w:szCs w:val="16"/>
          <w:lang w:val="en-US" w:eastAsia="zh-CN"/>
        </w:rPr>
        <w:t xml:space="preserve"> </w:t>
      </w:r>
      <w:r w:rsidRPr="00A74CBF">
        <w:rPr>
          <w:rFonts w:eastAsia="SimSun"/>
          <w:i/>
          <w:iCs/>
          <w:sz w:val="16"/>
          <w:szCs w:val="16"/>
          <w:lang w:val="en-US" w:eastAsia="zh-CN"/>
        </w:rPr>
        <w:t xml:space="preserve">Science &amp; Technology, Center for Quantum Information Science and Technology, Ben-Gurion </w:t>
      </w:r>
      <w:r>
        <w:rPr>
          <w:rFonts w:eastAsia="SimSun"/>
          <w:i/>
          <w:iCs/>
          <w:sz w:val="16"/>
          <w:szCs w:val="16"/>
          <w:lang w:val="en-US" w:eastAsia="zh-CN"/>
        </w:rPr>
        <w:t>University</w:t>
      </w:r>
      <w:r w:rsidRPr="00A74CBF">
        <w:rPr>
          <w:rFonts w:eastAsia="SimSun"/>
          <w:i/>
          <w:iCs/>
          <w:sz w:val="16"/>
          <w:szCs w:val="16"/>
          <w:lang w:val="en-US" w:eastAsia="zh-CN"/>
        </w:rPr>
        <w:t xml:space="preserve"> of the Negev, Beer-Sheva 8410501, </w:t>
      </w:r>
      <w:r>
        <w:rPr>
          <w:rFonts w:eastAsia="SimSun"/>
          <w:i/>
          <w:iCs/>
          <w:sz w:val="16"/>
          <w:szCs w:val="16"/>
          <w:lang w:val="en-US" w:eastAsia="zh-CN"/>
        </w:rPr>
        <w:t>Israel</w:t>
      </w:r>
    </w:p>
    <w:p w14:paraId="51ED0E40" w14:textId="0E72BBBE" w:rsidR="001C0648" w:rsidRPr="00A74CBF" w:rsidRDefault="00A74CBF" w:rsidP="00FD434F">
      <w:pPr>
        <w:autoSpaceDE w:val="0"/>
        <w:autoSpaceDN w:val="0"/>
        <w:adjustRightInd w:val="0"/>
        <w:jc w:val="center"/>
        <w:rPr>
          <w:rFonts w:eastAsia="SimSun"/>
          <w:sz w:val="20"/>
          <w:szCs w:val="20"/>
          <w:lang w:eastAsia="zh-CN"/>
        </w:rPr>
      </w:pPr>
      <w:r w:rsidRPr="00A74CBF">
        <w:rPr>
          <w:rStyle w:val="Hyperlink"/>
          <w:rFonts w:eastAsia="SimSun"/>
          <w:i/>
          <w:iCs/>
          <w:sz w:val="16"/>
          <w:szCs w:val="16"/>
          <w:lang w:val="en-US" w:eastAsia="zh-CN"/>
        </w:rPr>
        <w:t>alinak@bgu.ac.il</w:t>
      </w:r>
      <w:r w:rsidR="001C0648">
        <w:rPr>
          <w:rFonts w:eastAsia="SimSun"/>
          <w:i/>
          <w:iCs/>
          <w:sz w:val="16"/>
          <w:szCs w:val="16"/>
          <w:lang w:val="en-US" w:eastAsia="zh-CN"/>
        </w:rPr>
        <w:t xml:space="preserve"> </w:t>
      </w:r>
      <w:r w:rsidR="0081160F">
        <w:rPr>
          <w:rFonts w:eastAsia="SimSun"/>
          <w:i/>
          <w:iCs/>
          <w:sz w:val="16"/>
          <w:szCs w:val="16"/>
          <w:lang w:val="en-US" w:eastAsia="zh-CN"/>
        </w:rPr>
        <w:t xml:space="preserve"> </w:t>
      </w:r>
      <w:r w:rsidR="001C0648">
        <w:rPr>
          <w:rFonts w:eastAsia="SimSun"/>
          <w:i/>
          <w:iCs/>
          <w:sz w:val="16"/>
          <w:szCs w:val="16"/>
          <w:lang w:val="en-US" w:eastAsia="zh-CN"/>
        </w:rPr>
        <w:t>URL:</w:t>
      </w:r>
      <w:r>
        <w:t xml:space="preserve"> </w:t>
      </w:r>
      <w:hyperlink r:id="rId8" w:history="1">
        <w:r w:rsidRPr="00A74CBF">
          <w:rPr>
            <w:rFonts w:eastAsia="SimSun"/>
            <w:i/>
            <w:iCs/>
            <w:sz w:val="16"/>
            <w:szCs w:val="16"/>
            <w:lang w:val="en-US" w:eastAsia="zh-CN"/>
          </w:rPr>
          <w:t>http://www.alinakarabchevsky.com/</w:t>
        </w:r>
      </w:hyperlink>
    </w:p>
    <w:p w14:paraId="0E488B70" w14:textId="77777777" w:rsidR="001C0648" w:rsidRPr="0081160F" w:rsidRDefault="001C0648" w:rsidP="001C0648">
      <w:pPr>
        <w:jc w:val="center"/>
      </w:pPr>
    </w:p>
    <w:p w14:paraId="101A0788" w14:textId="2EE0085D" w:rsidR="000040E8" w:rsidRPr="0081160F" w:rsidRDefault="001C0648" w:rsidP="00FD434F">
      <w:pPr>
        <w:spacing w:after="60"/>
        <w:rPr>
          <w:lang w:val="en-US"/>
        </w:rPr>
      </w:pPr>
      <w:r w:rsidRPr="001C0648">
        <w:rPr>
          <w:rFonts w:ascii="(Asiatische Schriftart verwende" w:hAnsi="(Asiatische Schriftart verwende"/>
          <w:b/>
          <w:caps/>
          <w:lang w:val="en-US"/>
        </w:rPr>
        <w:t>Key words</w:t>
      </w:r>
      <w:r>
        <w:rPr>
          <w:lang w:val="en-US"/>
        </w:rPr>
        <w:t xml:space="preserve">: </w:t>
      </w:r>
      <w:r w:rsidR="0081160F" w:rsidRPr="0081160F">
        <w:rPr>
          <w:lang w:val="en-US"/>
        </w:rPr>
        <w:t>optical switch</w:t>
      </w:r>
      <w:r w:rsidR="0081160F">
        <w:rPr>
          <w:lang w:val="en-US"/>
        </w:rPr>
        <w:t>,</w:t>
      </w:r>
      <w:r w:rsidR="0081160F" w:rsidRPr="0081160F">
        <w:rPr>
          <w:lang w:val="en-US"/>
        </w:rPr>
        <w:t xml:space="preserve"> plasmonics</w:t>
      </w:r>
      <w:r w:rsidR="0081160F">
        <w:rPr>
          <w:lang w:val="en-US"/>
        </w:rPr>
        <w:t>,</w:t>
      </w:r>
      <w:r w:rsidR="0081160F" w:rsidRPr="0081160F">
        <w:rPr>
          <w:lang w:val="en-US"/>
        </w:rPr>
        <w:t xml:space="preserve"> nanoparticles</w:t>
      </w:r>
      <w:r w:rsidR="0081160F">
        <w:rPr>
          <w:lang w:val="en-US"/>
        </w:rPr>
        <w:t>,</w:t>
      </w:r>
      <w:r w:rsidR="0081160F" w:rsidRPr="0081160F">
        <w:rPr>
          <w:lang w:val="en-US"/>
        </w:rPr>
        <w:t xml:space="preserve"> molecular overtones, dielectric waveguide</w:t>
      </w:r>
      <w:r w:rsidR="0081160F">
        <w:rPr>
          <w:lang w:val="en-US"/>
        </w:rPr>
        <w:t>.</w:t>
      </w:r>
    </w:p>
    <w:p w14:paraId="519F9697" w14:textId="77777777" w:rsidR="0044018E" w:rsidRDefault="0044018E">
      <w:pPr>
        <w:spacing w:after="60"/>
        <w:rPr>
          <w:lang w:val="en-US"/>
        </w:rPr>
      </w:pPr>
    </w:p>
    <w:p w14:paraId="134E2468" w14:textId="77777777" w:rsidR="00FB4AE2" w:rsidRDefault="0081160F" w:rsidP="00FB4AE2">
      <w:pPr>
        <w:pStyle w:val="BodyTextKeep"/>
        <w:keepNext w:val="0"/>
        <w:rPr>
          <w:rFonts w:eastAsia="Times New Roman"/>
          <w:sz w:val="24"/>
          <w:szCs w:val="24"/>
          <w:lang w:eastAsia="fr-FR"/>
        </w:rPr>
      </w:pPr>
      <w:r w:rsidRPr="0081160F">
        <w:rPr>
          <w:rFonts w:eastAsia="Times New Roman"/>
          <w:sz w:val="24"/>
          <w:szCs w:val="24"/>
          <w:lang w:eastAsia="fr-FR"/>
        </w:rPr>
        <w:t>Optical switches selectively switch optical signal from switched-on to switched-off.  Compared to the traditional electronic switches, optical switches are not limited by thermal effects or electromagnetic interferences. Here we show metamaterials-based probing of weak quantum absorber in coupled three-resonator system which reveals the signature of optical switching. The polarization dependent probing of molecular overtones excited in a hybrid system tune the state: when the system is illuminated by transverse magnetic polarized light the switch is on while for the transverse electric polarized light the switch is off.</w:t>
      </w:r>
      <w:r w:rsidR="00FB4AE2">
        <w:rPr>
          <w:rFonts w:eastAsia="Times New Roman"/>
          <w:sz w:val="24"/>
          <w:szCs w:val="24"/>
          <w:lang w:eastAsia="fr-FR"/>
        </w:rPr>
        <w:t xml:space="preserve"> </w:t>
      </w:r>
    </w:p>
    <w:p w14:paraId="466979C9" w14:textId="77777777" w:rsidR="00FB4AE2" w:rsidRDefault="00FB4AE2" w:rsidP="00FB4AE2">
      <w:pPr>
        <w:pStyle w:val="BodyTextKeep"/>
        <w:keepNext w:val="0"/>
        <w:rPr>
          <w:rFonts w:eastAsia="Times New Roman"/>
          <w:sz w:val="24"/>
          <w:szCs w:val="24"/>
          <w:lang w:eastAsia="fr-FR"/>
        </w:rPr>
      </w:pPr>
    </w:p>
    <w:p w14:paraId="062956DA" w14:textId="603AAF71" w:rsidR="00FB4AE2" w:rsidRPr="0081160F" w:rsidRDefault="00FB4AE2" w:rsidP="00FB4AE2">
      <w:pPr>
        <w:pStyle w:val="BodyTextKeep"/>
        <w:keepNext w:val="0"/>
        <w:rPr>
          <w:rFonts w:eastAsia="Times New Roman"/>
          <w:sz w:val="24"/>
          <w:szCs w:val="24"/>
          <w:lang w:eastAsia="fr-FR"/>
        </w:rPr>
      </w:pPr>
      <w:r>
        <w:rPr>
          <w:rFonts w:eastAsia="Times New Roman"/>
          <w:sz w:val="24"/>
          <w:szCs w:val="24"/>
          <w:lang w:eastAsia="fr-FR"/>
        </w:rPr>
        <w:t>W</w:t>
      </w:r>
      <w:r w:rsidRPr="00FB4AE2">
        <w:rPr>
          <w:rFonts w:eastAsia="Times New Roman"/>
          <w:sz w:val="24"/>
          <w:szCs w:val="24"/>
          <w:lang w:eastAsia="fr-FR"/>
        </w:rPr>
        <w:t>e explored the system in which three coupled oscillators are excited. Despite the relatively low oscillator strength of the corresponding forbidden dipole transition in harmonic oscillator approximation we constructed an optical switching system based on polarization depending properties of the plasmon-to-overtone coupled modes. This all-optical switching manifold is realized by excited localized surface plasmons (LSP) which couple to the molecular vibrations overtones. LSP in the system are excited by the extended surface plasmons (ESP) which in turn are excited by the guided modes of a waveguide structure.</w:t>
      </w:r>
    </w:p>
    <w:p w14:paraId="71105972" w14:textId="5E0F4FD9" w:rsidR="0081160F" w:rsidRDefault="0081160F" w:rsidP="00FD434F">
      <w:pPr>
        <w:rPr>
          <w:lang w:val="en-US"/>
        </w:rPr>
      </w:pPr>
    </w:p>
    <w:p w14:paraId="0C771B7D" w14:textId="405EB384" w:rsidR="0081160F" w:rsidRPr="00B67CE9" w:rsidRDefault="00582576" w:rsidP="0081160F">
      <w:pPr>
        <w:jc w:val="center"/>
        <w:rPr>
          <w:lang w:val="en-US"/>
        </w:rPr>
      </w:pPr>
      <w:r>
        <w:object w:dxaOrig="17200" w:dyaOrig="11570" w14:anchorId="1C5F4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203pt" o:ole="">
            <v:imagedata r:id="rId9" o:title=""/>
          </v:shape>
          <o:OLEObject Type="Embed" ProgID="PBrush" ShapeID="_x0000_i1025" DrawAspect="Content" ObjectID="_1616749886" r:id="rId10"/>
        </w:object>
      </w:r>
    </w:p>
    <w:p w14:paraId="64545252" w14:textId="77777777" w:rsidR="006E6DDE" w:rsidRPr="00FD434F" w:rsidRDefault="006E6DDE" w:rsidP="00FB4AE2">
      <w:pPr>
        <w:spacing w:after="60"/>
      </w:pPr>
    </w:p>
    <w:tbl>
      <w:tblPr>
        <w:tblW w:w="0" w:type="auto"/>
        <w:tblInd w:w="70" w:type="dxa"/>
        <w:tblCellMar>
          <w:left w:w="70" w:type="dxa"/>
          <w:right w:w="70" w:type="dxa"/>
        </w:tblCellMar>
        <w:tblLook w:val="0000" w:firstRow="0" w:lastRow="0" w:firstColumn="0" w:lastColumn="0" w:noHBand="0" w:noVBand="0"/>
      </w:tblPr>
      <w:tblGrid>
        <w:gridCol w:w="8563"/>
      </w:tblGrid>
      <w:tr w:rsidR="006C2424" w:rsidRPr="00680702" w14:paraId="63FA825D" w14:textId="77777777">
        <w:tc>
          <w:tcPr>
            <w:tcW w:w="8563" w:type="dxa"/>
          </w:tcPr>
          <w:p w14:paraId="69701996" w14:textId="0C199B3C" w:rsidR="002870BB" w:rsidRDefault="00C44769" w:rsidP="00582576">
            <w:pPr>
              <w:rPr>
                <w:lang w:val="en-US"/>
              </w:rPr>
            </w:pPr>
            <w:r w:rsidRPr="006728A0">
              <w:rPr>
                <w:b/>
                <w:bCs/>
                <w:sz w:val="22"/>
                <w:szCs w:val="22"/>
                <w:lang w:val="en-US"/>
              </w:rPr>
              <w:t>Figure 1.</w:t>
            </w:r>
            <w:r w:rsidRPr="006728A0">
              <w:rPr>
                <w:sz w:val="22"/>
                <w:szCs w:val="22"/>
                <w:lang w:val="en-US"/>
              </w:rPr>
              <w:t xml:space="preserve"> </w:t>
            </w:r>
            <w:r w:rsidR="0081160F" w:rsidRPr="006728A0">
              <w:rPr>
                <w:sz w:val="22"/>
                <w:szCs w:val="22"/>
                <w:lang w:val="en-US"/>
              </w:rPr>
              <w:t>Schematic illustration of polarized beam incident the switch. (a) The state ‘off’ is activated when the TE polarized beam hits the switch, (b) the state ‘on’ is activated when the TM polarized light hits the switch. (c) Artistic representation of experimental setup. (d) Mechanism of coupled oscillators.</w:t>
            </w:r>
            <w:bookmarkStart w:id="1" w:name="_GoBack"/>
            <w:bookmarkEnd w:id="1"/>
          </w:p>
          <w:p w14:paraId="11E6F2BA" w14:textId="7BDEF3BD" w:rsidR="006C2424" w:rsidRPr="002870BB" w:rsidRDefault="006C2424" w:rsidP="002870BB">
            <w:pPr>
              <w:pStyle w:val="EndnoteText"/>
              <w:spacing w:after="60"/>
              <w:jc w:val="left"/>
              <w:rPr>
                <w:b/>
                <w:bCs/>
                <w:sz w:val="24"/>
                <w:szCs w:val="24"/>
                <w:lang w:val="en-US"/>
              </w:rPr>
            </w:pPr>
          </w:p>
        </w:tc>
      </w:tr>
    </w:tbl>
    <w:p w14:paraId="263FF4B2" w14:textId="33E88FBC" w:rsidR="006E6DDE" w:rsidRPr="006E6DDE" w:rsidRDefault="006E6DDE" w:rsidP="002870BB">
      <w:pPr>
        <w:pStyle w:val="NormalWeb"/>
        <w:ind w:left="641" w:hanging="641"/>
        <w:divId w:val="2089575660"/>
        <w:rPr>
          <w:sz w:val="22"/>
        </w:rPr>
      </w:pPr>
    </w:p>
    <w:sectPr w:rsidR="006E6DDE" w:rsidRPr="006E6DDE" w:rsidSect="006C242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0DE3F" w14:textId="77777777" w:rsidR="00BE234A" w:rsidRDefault="00BE234A">
      <w:r>
        <w:separator/>
      </w:r>
    </w:p>
  </w:endnote>
  <w:endnote w:type="continuationSeparator" w:id="0">
    <w:p w14:paraId="32F1351B" w14:textId="77777777" w:rsidR="00BE234A" w:rsidRDefault="00BE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siatische Schriftart verwend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93BE8" w14:textId="77777777" w:rsidR="00BE234A" w:rsidRDefault="00BE234A">
      <w:r>
        <w:separator/>
      </w:r>
    </w:p>
  </w:footnote>
  <w:footnote w:type="continuationSeparator" w:id="0">
    <w:p w14:paraId="6E3E386A" w14:textId="77777777" w:rsidR="00BE234A" w:rsidRDefault="00BE23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C416F8"/>
    <w:multiLevelType w:val="hybridMultilevel"/>
    <w:tmpl w:val="1938CB9E"/>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702"/>
    <w:rsid w:val="00001445"/>
    <w:rsid w:val="000040E8"/>
    <w:rsid w:val="000A52A5"/>
    <w:rsid w:val="001117E4"/>
    <w:rsid w:val="0011639B"/>
    <w:rsid w:val="001C0648"/>
    <w:rsid w:val="001E6FAB"/>
    <w:rsid w:val="002870BB"/>
    <w:rsid w:val="002A7409"/>
    <w:rsid w:val="002D01B3"/>
    <w:rsid w:val="002E7569"/>
    <w:rsid w:val="0032387E"/>
    <w:rsid w:val="00333A72"/>
    <w:rsid w:val="00363AD4"/>
    <w:rsid w:val="003B5368"/>
    <w:rsid w:val="00404325"/>
    <w:rsid w:val="0044018E"/>
    <w:rsid w:val="00481D45"/>
    <w:rsid w:val="00582576"/>
    <w:rsid w:val="0058672F"/>
    <w:rsid w:val="006728A0"/>
    <w:rsid w:val="00680702"/>
    <w:rsid w:val="006A6D03"/>
    <w:rsid w:val="006C2424"/>
    <w:rsid w:val="006D0730"/>
    <w:rsid w:val="006E3C72"/>
    <w:rsid w:val="006E6DDE"/>
    <w:rsid w:val="006F3EBD"/>
    <w:rsid w:val="0071646E"/>
    <w:rsid w:val="007E41F2"/>
    <w:rsid w:val="0081160F"/>
    <w:rsid w:val="008F3AAB"/>
    <w:rsid w:val="00940A33"/>
    <w:rsid w:val="0095763F"/>
    <w:rsid w:val="009D2DE2"/>
    <w:rsid w:val="009D53CA"/>
    <w:rsid w:val="00A54DA1"/>
    <w:rsid w:val="00A74CBF"/>
    <w:rsid w:val="00AD6509"/>
    <w:rsid w:val="00AE618F"/>
    <w:rsid w:val="00B07A9D"/>
    <w:rsid w:val="00B448F6"/>
    <w:rsid w:val="00B67CE9"/>
    <w:rsid w:val="00BA5E9C"/>
    <w:rsid w:val="00BE234A"/>
    <w:rsid w:val="00C44769"/>
    <w:rsid w:val="00CB0F5C"/>
    <w:rsid w:val="00D00EFD"/>
    <w:rsid w:val="00D51A4C"/>
    <w:rsid w:val="00DC6DDD"/>
    <w:rsid w:val="00EB20BC"/>
    <w:rsid w:val="00F50D83"/>
    <w:rsid w:val="00FB4AE2"/>
    <w:rsid w:val="00FD434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5E4D341"/>
  <w15:docId w15:val="{2191DFC7-03C4-4348-9D9B-86967E1D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lang w:val="fr-FR" w:eastAsia="fr-FR" w:bidi="ar-SA"/>
    </w:rPr>
  </w:style>
  <w:style w:type="paragraph" w:styleId="Heading1">
    <w:name w:val="heading 1"/>
    <w:basedOn w:val="Normal"/>
    <w:next w:val="Normal"/>
    <w:qFormat/>
    <w:pPr>
      <w:keepNext/>
      <w:spacing w:before="120" w:after="120"/>
      <w:jc w:val="center"/>
      <w:outlineLvl w:val="0"/>
    </w:pPr>
    <w:rPr>
      <w:rFonts w:cs="Arial"/>
      <w:b/>
      <w:bCs/>
      <w:kern w:val="32"/>
      <w:sz w:val="32"/>
      <w:szCs w:val="32"/>
    </w:rPr>
  </w:style>
  <w:style w:type="paragraph" w:styleId="Heading6">
    <w:name w:val="heading 6"/>
    <w:basedOn w:val="Normal"/>
    <w:next w:val="Normal"/>
    <w:link w:val="Heading6Char"/>
    <w:uiPriority w:val="9"/>
    <w:semiHidden/>
    <w:unhideWhenUsed/>
    <w:qFormat/>
    <w:rsid w:val="0058672F"/>
    <w:pPr>
      <w:spacing w:before="240" w:after="60"/>
      <w:outlineLvl w:val="5"/>
    </w:pPr>
    <w:rPr>
      <w:rFonts w:ascii="Calibri"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
    <w:name w:val="Ref"/>
    <w:basedOn w:val="Normal"/>
    <w:autoRedefine/>
    <w:pPr>
      <w:ind w:left="720" w:hanging="720"/>
    </w:pPr>
    <w:rPr>
      <w:lang w:val="en-GB"/>
    </w:rPr>
  </w:style>
  <w:style w:type="paragraph" w:customStyle="1" w:styleId="Authors">
    <w:name w:val="Authors"/>
    <w:basedOn w:val="Normal"/>
    <w:pPr>
      <w:spacing w:before="240" w:after="240"/>
      <w:jc w:val="center"/>
    </w:pPr>
    <w:rPr>
      <w:i/>
      <w:sz w:val="28"/>
      <w:lang w:val="en-GB"/>
    </w:rPr>
  </w:style>
  <w:style w:type="paragraph" w:customStyle="1" w:styleId="address">
    <w:name w:val="address"/>
    <w:basedOn w:val="Normal"/>
    <w:pPr>
      <w:spacing w:before="120" w:after="120"/>
    </w:pPr>
    <w:rPr>
      <w:lang w:val="en-GB"/>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character" w:styleId="Hyperlink">
    <w:name w:val="Hyperlink"/>
    <w:rPr>
      <w:color w:val="0000FF"/>
      <w:u w:val="single"/>
    </w:rPr>
  </w:style>
  <w:style w:type="paragraph" w:styleId="FootnoteText">
    <w:name w:val="footnote text"/>
    <w:basedOn w:val="Normal"/>
    <w:rPr>
      <w:sz w:val="20"/>
      <w:szCs w:val="20"/>
    </w:rPr>
  </w:style>
  <w:style w:type="character" w:styleId="FootnoteReference">
    <w:name w:val="footnote reference"/>
    <w:rPr>
      <w:vertAlign w:val="superscript"/>
    </w:rPr>
  </w:style>
  <w:style w:type="table" w:styleId="TableGrid">
    <w:name w:val="Table Grid"/>
    <w:basedOn w:val="TableNormal"/>
    <w:rsid w:val="006807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7CE9"/>
    <w:pPr>
      <w:spacing w:before="100" w:beforeAutospacing="1" w:after="100" w:afterAutospacing="1"/>
      <w:jc w:val="left"/>
    </w:pPr>
    <w:rPr>
      <w:lang w:val="en-US" w:eastAsia="en-US" w:bidi="he-IL"/>
    </w:rPr>
  </w:style>
  <w:style w:type="character" w:customStyle="1" w:styleId="Heading6Char">
    <w:name w:val="Heading 6 Char"/>
    <w:link w:val="Heading6"/>
    <w:uiPriority w:val="9"/>
    <w:semiHidden/>
    <w:rsid w:val="0058672F"/>
    <w:rPr>
      <w:rFonts w:ascii="Calibri" w:eastAsia="Times New Roman" w:hAnsi="Calibri" w:cs="Arial"/>
      <w:b/>
      <w:bCs/>
      <w:sz w:val="22"/>
      <w:szCs w:val="22"/>
      <w:lang w:val="fr-FR" w:eastAsia="fr-FR" w:bidi="ar-SA"/>
    </w:rPr>
  </w:style>
  <w:style w:type="paragraph" w:customStyle="1" w:styleId="Title1">
    <w:name w:val="Title1"/>
    <w:basedOn w:val="Normal"/>
    <w:next w:val="Normal"/>
    <w:rsid w:val="00A74CBF"/>
    <w:pPr>
      <w:spacing w:before="100"/>
      <w:ind w:left="1134" w:right="720"/>
      <w:jc w:val="center"/>
    </w:pPr>
    <w:rPr>
      <w:rFonts w:eastAsia="MS Mincho"/>
      <w:b/>
      <w:sz w:val="28"/>
      <w:szCs w:val="20"/>
      <w:lang w:val="en-US" w:eastAsia="en-US"/>
    </w:rPr>
  </w:style>
  <w:style w:type="paragraph" w:customStyle="1" w:styleId="Affiliation">
    <w:name w:val="Affiliation"/>
    <w:basedOn w:val="Normal"/>
    <w:rsid w:val="00A74CBF"/>
    <w:pPr>
      <w:jc w:val="center"/>
    </w:pPr>
    <w:rPr>
      <w:rFonts w:eastAsia="MS Mincho"/>
      <w:szCs w:val="20"/>
      <w:lang w:val="en-US" w:eastAsia="en-US"/>
    </w:rPr>
  </w:style>
  <w:style w:type="character" w:customStyle="1" w:styleId="UnresolvedMention">
    <w:name w:val="Unresolved Mention"/>
    <w:uiPriority w:val="99"/>
    <w:semiHidden/>
    <w:unhideWhenUsed/>
    <w:rsid w:val="00A74CBF"/>
    <w:rPr>
      <w:color w:val="605E5C"/>
      <w:shd w:val="clear" w:color="auto" w:fill="E1DFDD"/>
    </w:rPr>
  </w:style>
  <w:style w:type="paragraph" w:customStyle="1" w:styleId="BodyTextKeep">
    <w:name w:val="Body Text Keep"/>
    <w:basedOn w:val="Normal"/>
    <w:rsid w:val="0081160F"/>
    <w:pPr>
      <w:keepNext/>
      <w:ind w:right="45"/>
    </w:pPr>
    <w:rPr>
      <w:rFonts w:eastAsia="MS Mincho"/>
      <w:sz w:val="18"/>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2429">
      <w:bodyDiv w:val="1"/>
      <w:marLeft w:val="0"/>
      <w:marRight w:val="0"/>
      <w:marTop w:val="0"/>
      <w:marBottom w:val="0"/>
      <w:divBdr>
        <w:top w:val="none" w:sz="0" w:space="0" w:color="auto"/>
        <w:left w:val="none" w:sz="0" w:space="0" w:color="auto"/>
        <w:bottom w:val="none" w:sz="0" w:space="0" w:color="auto"/>
        <w:right w:val="none" w:sz="0" w:space="0" w:color="auto"/>
      </w:divBdr>
    </w:div>
    <w:div w:id="2089575660">
      <w:bodyDiv w:val="1"/>
      <w:marLeft w:val="0"/>
      <w:marRight w:val="0"/>
      <w:marTop w:val="0"/>
      <w:marBottom w:val="0"/>
      <w:divBdr>
        <w:top w:val="none" w:sz="0" w:space="0" w:color="auto"/>
        <w:left w:val="none" w:sz="0" w:space="0" w:color="auto"/>
        <w:bottom w:val="none" w:sz="0" w:space="0" w:color="auto"/>
        <w:right w:val="none" w:sz="0" w:space="0" w:color="auto"/>
      </w:divBdr>
      <w:divsChild>
        <w:div w:id="12400215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linakarabchevsk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026BF-409E-49BC-9C23-99B54B1C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517</Words>
  <Characters>2950</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abstract template</vt:lpstr>
      <vt:lpstr>abstract template</vt:lpstr>
    </vt:vector>
  </TitlesOfParts>
  <Company>MUI</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dc:title>
  <dc:creator>Andreas</dc:creator>
  <cp:lastModifiedBy>Alina</cp:lastModifiedBy>
  <cp:revision>13</cp:revision>
  <cp:lastPrinted>2006-12-15T11:03:00Z</cp:lastPrinted>
  <dcterms:created xsi:type="dcterms:W3CDTF">2014-12-07T12:26:00Z</dcterms:created>
  <dcterms:modified xsi:type="dcterms:W3CDTF">2019-04-14T09:23:00Z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roichman@tau.ac.il@www.mendeley.com</vt:lpwstr>
  </property>
  <property fmtid="{D5CDD505-2E9C-101B-9397-08002B2CF9AE}" pid="4" name="Mendeley Citation Style_1">
    <vt:lpwstr>http://www.zotero.org/styles/the-optical-society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http://www.zotero.org/styles/physical-review-letters</vt:lpwstr>
  </property>
  <property fmtid="{D5CDD505-2E9C-101B-9397-08002B2CF9AE}" pid="22" name="Mendeley Recent Style Name 8_1">
    <vt:lpwstr>Physical Review Letters</vt:lpwstr>
  </property>
  <property fmtid="{D5CDD505-2E9C-101B-9397-08002B2CF9AE}" pid="23" name="Mendeley Recent Style Id 9_1">
    <vt:lpwstr>http://www.zotero.org/styles/the-optical-society</vt:lpwstr>
  </property>
  <property fmtid="{D5CDD505-2E9C-101B-9397-08002B2CF9AE}" pid="24" name="Mendeley Recent Style Name 9_1">
    <vt:lpwstr>The Optical Society</vt:lpwstr>
  </property>
</Properties>
</file>